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11" w:beforeLines="50" w:line="360" w:lineRule="auto"/>
        <w:rPr>
          <w:rFonts w:eastAsia="仿宋"/>
          <w:bCs/>
          <w:color w:val="000000"/>
          <w:sz w:val="24"/>
          <w:szCs w:val="24"/>
        </w:rPr>
      </w:pPr>
      <w:bookmarkStart w:id="3" w:name="_GoBack"/>
      <w:bookmarkEnd w:id="3"/>
      <w:r>
        <w:rPr>
          <w:rFonts w:eastAsia="仿宋"/>
          <w:bCs/>
          <w:color w:val="000000"/>
          <w:sz w:val="24"/>
          <w:szCs w:val="24"/>
        </w:rPr>
        <w:t>项目名称：</w:t>
      </w:r>
      <w:r>
        <w:rPr>
          <w:rFonts w:eastAsia="仿宋"/>
          <w:sz w:val="24"/>
          <w:szCs w:val="24"/>
        </w:rPr>
        <w:t>肾</w:t>
      </w:r>
      <w:r>
        <w:rPr>
          <w:rFonts w:hint="eastAsia" w:eastAsia="仿宋"/>
          <w:sz w:val="24"/>
          <w:szCs w:val="24"/>
        </w:rPr>
        <w:t>脏纤维化的关键机制及靶向干预</w:t>
      </w:r>
    </w:p>
    <w:p>
      <w:pPr>
        <w:adjustRightInd w:val="0"/>
        <w:snapToGrid w:val="0"/>
        <w:spacing w:before="211" w:beforeLines="50" w:line="360" w:lineRule="auto"/>
        <w:rPr>
          <w:rFonts w:eastAsia="仿宋"/>
          <w:bCs/>
          <w:color w:val="000000"/>
          <w:sz w:val="24"/>
          <w:szCs w:val="24"/>
        </w:rPr>
      </w:pPr>
      <w:r>
        <w:rPr>
          <w:rFonts w:eastAsia="仿宋"/>
          <w:bCs/>
          <w:color w:val="000000"/>
          <w:sz w:val="24"/>
          <w:szCs w:val="24"/>
        </w:rPr>
        <w:t>推荐单位：南京医科大学</w:t>
      </w:r>
    </w:p>
    <w:p>
      <w:pPr>
        <w:adjustRightInd w:val="0"/>
        <w:snapToGrid w:val="0"/>
        <w:spacing w:before="211" w:beforeLines="50" w:line="360" w:lineRule="auto"/>
        <w:rPr>
          <w:rFonts w:eastAsia="仿宋"/>
          <w:bCs/>
          <w:color w:val="000000"/>
          <w:sz w:val="24"/>
          <w:szCs w:val="24"/>
        </w:rPr>
      </w:pPr>
      <w:r>
        <w:rPr>
          <w:rFonts w:eastAsia="仿宋"/>
          <w:bCs/>
          <w:color w:val="000000"/>
          <w:sz w:val="24"/>
          <w:szCs w:val="24"/>
        </w:rPr>
        <w:t>主要完成单位：南京医科大学第二附属医院</w:t>
      </w:r>
    </w:p>
    <w:p>
      <w:pPr>
        <w:adjustRightInd w:val="0"/>
        <w:snapToGrid w:val="0"/>
        <w:spacing w:before="211" w:beforeLines="50" w:line="360" w:lineRule="auto"/>
        <w:rPr>
          <w:rFonts w:eastAsia="仿宋"/>
          <w:bCs/>
          <w:color w:val="000000"/>
          <w:sz w:val="24"/>
          <w:szCs w:val="24"/>
        </w:rPr>
      </w:pPr>
      <w:r>
        <w:rPr>
          <w:rFonts w:eastAsia="仿宋"/>
          <w:bCs/>
          <w:color w:val="000000"/>
          <w:sz w:val="24"/>
          <w:szCs w:val="24"/>
        </w:rPr>
        <w:t>主要完成人：</w:t>
      </w:r>
      <w:r>
        <w:rPr>
          <w:rFonts w:hint="eastAsia" w:eastAsia="仿宋"/>
          <w:bCs/>
          <w:sz w:val="24"/>
          <w:szCs w:val="24"/>
        </w:rPr>
        <w:t>戴春笋、周阳、顾梦茹、江蕾、曹红娣、何伟春、叶红、熊明霞、闻萍、孙晓莉、薛娴、徐卓、徐玲玲、刘鑫、丁昊</w:t>
      </w:r>
    </w:p>
    <w:p>
      <w:pPr>
        <w:adjustRightInd w:val="0"/>
        <w:snapToGrid w:val="0"/>
        <w:spacing w:before="211" w:beforeLines="50" w:line="360" w:lineRule="auto"/>
        <w:rPr>
          <w:rFonts w:eastAsia="仿宋"/>
          <w:bCs/>
          <w:color w:val="000000"/>
          <w:sz w:val="24"/>
          <w:szCs w:val="24"/>
        </w:rPr>
      </w:pPr>
      <w:r>
        <w:rPr>
          <w:rFonts w:eastAsia="仿宋"/>
          <w:bCs/>
          <w:color w:val="000000"/>
          <w:sz w:val="24"/>
          <w:szCs w:val="24"/>
        </w:rPr>
        <w:t>项目简介：</w:t>
      </w:r>
      <w:r>
        <w:rPr>
          <w:rFonts w:eastAsia="仿宋"/>
          <w:bCs/>
          <w:sz w:val="24"/>
          <w:szCs w:val="24"/>
        </w:rPr>
        <w:t>我国成人慢性肾脏病的患病人数逾八千多万，由于病因复杂、起病隐匿、缺乏针对性治疗措施等，每年近20万患者进展至终末期肾病，不得不依赖昂贵的肾脏替代治疗维持生命，给病患家庭和全社会带来沉重经济负担。肾脏纤维化是慢性肾脏病最主要的病变特征，肾小管上皮细胞死亡、成纤维细胞活化、巨噬细胞M2型极化等均参与了肾脏纤维化的发生和进展。近年来，在国家重点基础研究发展计划、国家自然科学基金等资助下，</w:t>
      </w:r>
      <w:r>
        <w:rPr>
          <w:rFonts w:eastAsia="仿宋"/>
          <w:b/>
          <w:sz w:val="24"/>
          <w:szCs w:val="24"/>
        </w:rPr>
        <w:t>研究团队在“肾脏纤维化的关键机制及靶向干预”方面取得原创性成果</w:t>
      </w:r>
      <w:r>
        <w:rPr>
          <w:rFonts w:hint="eastAsia" w:eastAsia="仿宋"/>
          <w:b/>
          <w:sz w:val="24"/>
          <w:szCs w:val="24"/>
        </w:rPr>
        <w:t xml:space="preserve">。1. </w:t>
      </w:r>
      <w:r>
        <w:rPr>
          <w:rFonts w:eastAsia="仿宋"/>
          <w:b/>
          <w:sz w:val="24"/>
          <w:szCs w:val="24"/>
        </w:rPr>
        <w:t>阐明</w:t>
      </w:r>
      <w:r>
        <w:rPr>
          <w:rFonts w:hint="eastAsia" w:eastAsia="仿宋"/>
          <w:b/>
          <w:sz w:val="24"/>
          <w:szCs w:val="24"/>
        </w:rPr>
        <w:t>肾小管上皮细胞的代谢异常和细胞死亡促进肾脏纤维化的调控机制</w:t>
      </w:r>
      <w:r>
        <w:rPr>
          <w:rFonts w:hint="eastAsia" w:eastAsia="仿宋"/>
          <w:bCs/>
          <w:sz w:val="24"/>
          <w:szCs w:val="24"/>
        </w:rPr>
        <w:t>：</w:t>
      </w:r>
      <w:r>
        <w:rPr>
          <w:rFonts w:eastAsia="仿宋"/>
          <w:bCs/>
          <w:sz w:val="24"/>
          <w:szCs w:val="24"/>
        </w:rPr>
        <w:t>PP2Acα调控ACC和Glut1的去磷酸化，抑制肾小管上皮细胞的脂肪酸氧化，促进有氧糖酵解。Tsc1/mTORC1激活HIF-1α促进肾小管上皮细胞有氧糖酵解</w:t>
      </w:r>
      <w:r>
        <w:rPr>
          <w:rFonts w:hint="eastAsia" w:eastAsia="仿宋"/>
          <w:bCs/>
          <w:sz w:val="24"/>
          <w:szCs w:val="24"/>
        </w:rPr>
        <w:t>。</w:t>
      </w:r>
      <w:r>
        <w:rPr>
          <w:rFonts w:eastAsia="仿宋"/>
          <w:bCs/>
          <w:sz w:val="24"/>
          <w:szCs w:val="24"/>
        </w:rPr>
        <w:t>DHHC9和APT1调控β-catenin的棕榈酰化修饰</w:t>
      </w:r>
      <w:r>
        <w:rPr>
          <w:rFonts w:hint="eastAsia" w:eastAsia="仿宋"/>
          <w:bCs/>
          <w:sz w:val="24"/>
          <w:szCs w:val="24"/>
        </w:rPr>
        <w:t>和</w:t>
      </w:r>
      <w:r>
        <w:rPr>
          <w:rFonts w:eastAsia="仿宋"/>
          <w:bCs/>
          <w:sz w:val="24"/>
          <w:szCs w:val="24"/>
        </w:rPr>
        <w:t>泛素化降解</w:t>
      </w:r>
      <w:r>
        <w:rPr>
          <w:rFonts w:hint="eastAsia" w:eastAsia="仿宋"/>
          <w:bCs/>
          <w:sz w:val="24"/>
          <w:szCs w:val="24"/>
        </w:rPr>
        <w:t>，减轻细胞外基质的形成</w:t>
      </w:r>
      <w:r>
        <w:rPr>
          <w:rFonts w:eastAsia="仿宋"/>
          <w:bCs/>
          <w:sz w:val="24"/>
          <w:szCs w:val="24"/>
        </w:rPr>
        <w:t>。Rictor/mTORC2调控Akt和PKCα的磷酸化，诱导肾小管上皮细胞自噬，减轻细胞凋亡</w:t>
      </w:r>
      <w:r>
        <w:rPr>
          <w:rFonts w:hint="eastAsia" w:eastAsia="仿宋"/>
          <w:bCs/>
          <w:sz w:val="24"/>
          <w:szCs w:val="24"/>
        </w:rPr>
        <w:t>。</w:t>
      </w:r>
      <w:r>
        <w:rPr>
          <w:rFonts w:hint="eastAsia" w:eastAsia="仿宋"/>
          <w:b/>
          <w:sz w:val="24"/>
          <w:szCs w:val="24"/>
        </w:rPr>
        <w:t>2</w:t>
      </w:r>
      <w:r>
        <w:rPr>
          <w:rFonts w:eastAsia="仿宋"/>
          <w:b/>
          <w:sz w:val="24"/>
          <w:szCs w:val="24"/>
        </w:rPr>
        <w:t>.</w:t>
      </w:r>
      <w:r>
        <w:rPr>
          <w:rFonts w:hint="eastAsia" w:eastAsia="仿宋"/>
          <w:b/>
          <w:sz w:val="24"/>
          <w:szCs w:val="24"/>
        </w:rPr>
        <w:t xml:space="preserve"> 揭示</w:t>
      </w:r>
      <w:r>
        <w:rPr>
          <w:rFonts w:eastAsia="仿宋"/>
          <w:b/>
          <w:sz w:val="24"/>
          <w:szCs w:val="24"/>
        </w:rPr>
        <w:t>肾脏纤维化</w:t>
      </w:r>
      <w:r>
        <w:rPr>
          <w:rFonts w:hint="eastAsia" w:eastAsia="仿宋"/>
          <w:b/>
          <w:sz w:val="24"/>
          <w:szCs w:val="24"/>
        </w:rPr>
        <w:t>过程中</w:t>
      </w:r>
      <w:r>
        <w:rPr>
          <w:rFonts w:eastAsia="仿宋"/>
          <w:b/>
          <w:sz w:val="24"/>
          <w:szCs w:val="24"/>
        </w:rPr>
        <w:t>调控</w:t>
      </w:r>
      <w:r>
        <w:rPr>
          <w:rFonts w:hint="eastAsia" w:eastAsia="仿宋"/>
          <w:b/>
          <w:sz w:val="24"/>
          <w:szCs w:val="24"/>
        </w:rPr>
        <w:t>成纤维细胞活化的</w:t>
      </w:r>
      <w:r>
        <w:rPr>
          <w:rFonts w:eastAsia="仿宋"/>
          <w:b/>
          <w:sz w:val="24"/>
          <w:szCs w:val="24"/>
        </w:rPr>
        <w:t>关键因子</w:t>
      </w:r>
      <w:r>
        <w:rPr>
          <w:rFonts w:eastAsia="仿宋"/>
          <w:bCs/>
          <w:sz w:val="24"/>
          <w:szCs w:val="24"/>
        </w:rPr>
        <w:t>：Tsc1/Rheb/mTORC1和Rictor/mTORC2均促进成纤维细胞活化；诱导成纤维细胞表达PPARγ和HGF，减轻肾小管上皮细胞凋亡。</w:t>
      </w:r>
      <w:r>
        <w:rPr>
          <w:rFonts w:hint="eastAsia" w:eastAsia="仿宋"/>
          <w:b/>
          <w:bCs/>
          <w:sz w:val="24"/>
          <w:szCs w:val="24"/>
        </w:rPr>
        <w:t>3. 解析巨噬细胞M2型极化的调控因子及其促进肾小管上皮细胞死亡和成纤维细胞活化的机制</w:t>
      </w:r>
      <w:r>
        <w:rPr>
          <w:rFonts w:hint="eastAsia" w:eastAsia="仿宋"/>
          <w:bCs/>
          <w:sz w:val="24"/>
          <w:szCs w:val="24"/>
        </w:rPr>
        <w:t>：</w:t>
      </w:r>
      <w:bookmarkStart w:id="0" w:name="_Hlk164074443"/>
      <w:r>
        <w:rPr>
          <w:rFonts w:eastAsia="仿宋"/>
          <w:bCs/>
          <w:sz w:val="24"/>
          <w:szCs w:val="24"/>
        </w:rPr>
        <w:t>Wnt/β-catenin调控巨噬细胞M2型极化，引起STAT3的磷酸化及核转移</w:t>
      </w:r>
      <w:r>
        <w:rPr>
          <w:rFonts w:hint="eastAsia" w:eastAsia="仿宋"/>
          <w:bCs/>
          <w:sz w:val="24"/>
          <w:szCs w:val="24"/>
        </w:rPr>
        <w:t>。</w:t>
      </w:r>
      <w:r>
        <w:rPr>
          <w:rFonts w:eastAsia="仿宋"/>
          <w:bCs/>
          <w:sz w:val="24"/>
          <w:szCs w:val="24"/>
        </w:rPr>
        <w:t>PP2Acα分别调节Rap1和Stat6促进巨噬细胞迁移和分泌TNFα，诱导肾小管上皮细胞凋亡</w:t>
      </w:r>
      <w:r>
        <w:rPr>
          <w:rFonts w:hint="eastAsia" w:eastAsia="仿宋"/>
          <w:bCs/>
          <w:sz w:val="24"/>
          <w:szCs w:val="24"/>
        </w:rPr>
        <w:t>。</w:t>
      </w:r>
      <w:r>
        <w:rPr>
          <w:rFonts w:eastAsia="仿宋"/>
          <w:bCs/>
          <w:sz w:val="24"/>
          <w:szCs w:val="24"/>
        </w:rPr>
        <w:t>Rictor/mTORC2</w:t>
      </w:r>
      <w:bookmarkEnd w:id="0"/>
      <w:r>
        <w:rPr>
          <w:rFonts w:eastAsia="仿宋"/>
          <w:bCs/>
          <w:sz w:val="24"/>
          <w:szCs w:val="24"/>
        </w:rPr>
        <w:t>促进巨噬细胞迁移，M2型极化，并分泌PDGF、VEGF和CTFG激活成纤维细胞。</w:t>
      </w:r>
      <w:r>
        <w:rPr>
          <w:rFonts w:hint="eastAsia" w:eastAsia="仿宋"/>
          <w:b/>
          <w:sz w:val="24"/>
          <w:szCs w:val="24"/>
        </w:rPr>
        <w:t>4</w:t>
      </w:r>
      <w:r>
        <w:rPr>
          <w:rFonts w:eastAsia="仿宋"/>
          <w:b/>
          <w:sz w:val="24"/>
          <w:szCs w:val="24"/>
        </w:rPr>
        <w:t>. 研发靶向关键调控因子和通路的干预措施用于防治肾脏纤维化</w:t>
      </w:r>
      <w:r>
        <w:rPr>
          <w:rFonts w:eastAsia="仿宋"/>
          <w:bCs/>
          <w:sz w:val="24"/>
          <w:szCs w:val="24"/>
        </w:rPr>
        <w:t>：发现PP2Acα抑制剂phendione、DHHC9诱导剂iproniazid、APT1抑制剂ML348减轻肾脏纤维化的作用，创新SCD1抑制剂A939572、PDK1变构激活剂PS48、脂滴结合蛋白perilipin 1在治疗缺血、药物和糖尿病引起的肾小管损伤中的应用。</w:t>
      </w:r>
      <w:bookmarkStart w:id="1" w:name="OLE_LINK4"/>
      <w:bookmarkStart w:id="2" w:name="OLE_LINK3"/>
      <w:r>
        <w:rPr>
          <w:rFonts w:eastAsia="仿宋"/>
          <w:bCs/>
          <w:sz w:val="24"/>
          <w:szCs w:val="24"/>
        </w:rPr>
        <w:t>研究成果在J Am Soc Nephrol、Kidney Int及Nature子刊等发表高质量期刊论文，</w:t>
      </w:r>
      <w:r>
        <w:rPr>
          <w:rFonts w:eastAsia="仿宋"/>
          <w:b/>
          <w:sz w:val="24"/>
          <w:szCs w:val="24"/>
        </w:rPr>
        <w:t>10篇代表性论文</w:t>
      </w:r>
      <w:r>
        <w:rPr>
          <w:rFonts w:hint="eastAsia" w:eastAsia="仿宋"/>
          <w:b/>
          <w:sz w:val="24"/>
          <w:szCs w:val="24"/>
        </w:rPr>
        <w:t>均被SCI-E收录，JCR Q1区，累计</w:t>
      </w:r>
      <w:r>
        <w:rPr>
          <w:rFonts w:eastAsia="仿宋"/>
          <w:b/>
          <w:sz w:val="24"/>
          <w:szCs w:val="24"/>
        </w:rPr>
        <w:t>他引</w:t>
      </w:r>
      <w:r>
        <w:rPr>
          <w:rFonts w:hint="eastAsia" w:eastAsia="仿宋"/>
          <w:b/>
          <w:sz w:val="24"/>
          <w:szCs w:val="24"/>
        </w:rPr>
        <w:t>368</w:t>
      </w:r>
      <w:r>
        <w:rPr>
          <w:rFonts w:eastAsia="仿宋"/>
          <w:b/>
          <w:sz w:val="24"/>
          <w:szCs w:val="24"/>
        </w:rPr>
        <w:t>次</w:t>
      </w:r>
      <w:r>
        <w:rPr>
          <w:rFonts w:eastAsia="仿宋"/>
          <w:bCs/>
          <w:sz w:val="24"/>
          <w:szCs w:val="24"/>
        </w:rPr>
        <w:t>，被</w:t>
      </w:r>
      <w:r>
        <w:rPr>
          <w:rFonts w:hint="eastAsia" w:eastAsia="仿宋"/>
          <w:bCs/>
          <w:sz w:val="24"/>
          <w:szCs w:val="24"/>
        </w:rPr>
        <w:t>Nature Reviews Nephrol等权威期刊</w:t>
      </w:r>
      <w:r>
        <w:rPr>
          <w:rFonts w:eastAsia="仿宋"/>
          <w:bCs/>
          <w:sz w:val="24"/>
          <w:szCs w:val="24"/>
        </w:rPr>
        <w:t>引用</w:t>
      </w:r>
      <w:r>
        <w:rPr>
          <w:rFonts w:hint="eastAsia" w:eastAsia="仿宋"/>
          <w:bCs/>
          <w:sz w:val="24"/>
          <w:szCs w:val="24"/>
        </w:rPr>
        <w:t>并正面评价</w:t>
      </w:r>
      <w:r>
        <w:rPr>
          <w:rFonts w:eastAsia="仿宋"/>
          <w:bCs/>
          <w:sz w:val="24"/>
          <w:szCs w:val="24"/>
        </w:rPr>
        <w:t>。</w:t>
      </w:r>
      <w:bookmarkEnd w:id="1"/>
      <w:bookmarkEnd w:id="2"/>
      <w:r>
        <w:rPr>
          <w:rFonts w:eastAsia="仿宋"/>
          <w:bCs/>
          <w:sz w:val="24"/>
          <w:szCs w:val="24"/>
        </w:rPr>
        <w:t>探索靶向肾脏纤维化的新分子和新药物，应用于慢性肾脏病的精准诊疗，</w:t>
      </w:r>
      <w:r>
        <w:rPr>
          <w:rFonts w:eastAsia="仿宋"/>
          <w:b/>
          <w:sz w:val="24"/>
          <w:szCs w:val="24"/>
        </w:rPr>
        <w:t>授权专利</w:t>
      </w:r>
      <w:r>
        <w:rPr>
          <w:rFonts w:hint="eastAsia" w:eastAsia="仿宋"/>
          <w:b/>
          <w:sz w:val="24"/>
          <w:szCs w:val="24"/>
        </w:rPr>
        <w:t>5</w:t>
      </w:r>
      <w:r>
        <w:rPr>
          <w:rFonts w:eastAsia="仿宋"/>
          <w:b/>
          <w:sz w:val="24"/>
          <w:szCs w:val="24"/>
        </w:rPr>
        <w:t>项</w:t>
      </w:r>
      <w:r>
        <w:rPr>
          <w:rFonts w:hint="eastAsia" w:eastAsia="仿宋"/>
          <w:b/>
          <w:sz w:val="24"/>
          <w:szCs w:val="24"/>
        </w:rPr>
        <w:t>，在国内多家医疗机构推广</w:t>
      </w:r>
      <w:r>
        <w:rPr>
          <w:rFonts w:eastAsia="仿宋"/>
          <w:b/>
          <w:sz w:val="24"/>
          <w:szCs w:val="24"/>
        </w:rPr>
        <w:t>。</w:t>
      </w:r>
      <w:r>
        <w:rPr>
          <w:rFonts w:eastAsia="仿宋"/>
          <w:bCs/>
          <w:sz w:val="24"/>
          <w:szCs w:val="24"/>
        </w:rPr>
        <w:t>本项目有助于深入解析肾脏纤维化的核心机制和关键因子，创新研发特异性的临床防治措施，为延缓慢性肾脏病的进展、减轻社会医疗负担发挥积极推动作用。</w:t>
      </w:r>
    </w:p>
    <w:p>
      <w:pPr>
        <w:adjustRightInd w:val="0"/>
        <w:snapToGrid w:val="0"/>
        <w:spacing w:before="211" w:beforeLines="50" w:line="360" w:lineRule="auto"/>
        <w:rPr>
          <w:rFonts w:eastAsia="仿宋"/>
          <w:bCs/>
          <w:color w:val="000000"/>
          <w:sz w:val="24"/>
          <w:szCs w:val="24"/>
        </w:rPr>
      </w:pPr>
      <w:r>
        <w:rPr>
          <w:rFonts w:eastAsia="仿宋"/>
          <w:bCs/>
          <w:color w:val="000000"/>
          <w:sz w:val="24"/>
          <w:szCs w:val="24"/>
        </w:rPr>
        <w:t>代表性论文目录：</w:t>
      </w:r>
    </w:p>
    <w:p>
      <w:pPr>
        <w:pStyle w:val="15"/>
        <w:numPr>
          <w:ilvl w:val="0"/>
          <w:numId w:val="1"/>
        </w:numPr>
        <w:adjustRightInd w:val="0"/>
        <w:snapToGrid w:val="0"/>
        <w:spacing w:line="360" w:lineRule="auto"/>
        <w:ind w:firstLineChars="0"/>
        <w:rPr>
          <w:rFonts w:eastAsia="仿宋"/>
          <w:sz w:val="24"/>
          <w:szCs w:val="24"/>
        </w:rPr>
      </w:pPr>
      <w:r>
        <w:rPr>
          <w:rFonts w:eastAsia="仿宋"/>
          <w:bCs/>
          <w:sz w:val="24"/>
          <w:szCs w:val="24"/>
        </w:rPr>
        <w:t xml:space="preserve">Protein phosphatase 2Aca modulates fatty acid oxidation and glycolysis to determine tubular cell fate and kidney injury. </w:t>
      </w:r>
      <w:r>
        <w:rPr>
          <w:rFonts w:eastAsia="仿宋"/>
          <w:bCs/>
          <w:i/>
          <w:sz w:val="24"/>
          <w:szCs w:val="24"/>
        </w:rPr>
        <w:t xml:space="preserve">Kidney Int. </w:t>
      </w:r>
      <w:r>
        <w:rPr>
          <w:rFonts w:eastAsia="仿宋"/>
          <w:bCs/>
          <w:sz w:val="24"/>
          <w:szCs w:val="24"/>
        </w:rPr>
        <w:t>2022 Aug; 102(2): 321-336.</w:t>
      </w:r>
    </w:p>
    <w:p>
      <w:pPr>
        <w:pStyle w:val="15"/>
        <w:numPr>
          <w:ilvl w:val="0"/>
          <w:numId w:val="1"/>
        </w:numPr>
        <w:adjustRightInd w:val="0"/>
        <w:snapToGrid w:val="0"/>
        <w:spacing w:line="360" w:lineRule="auto"/>
        <w:ind w:firstLineChars="0"/>
        <w:rPr>
          <w:rFonts w:eastAsia="仿宋"/>
          <w:sz w:val="24"/>
          <w:szCs w:val="24"/>
        </w:rPr>
      </w:pPr>
      <w:r>
        <w:rPr>
          <w:rFonts w:eastAsia="仿宋"/>
          <w:bCs/>
          <w:sz w:val="24"/>
          <w:szCs w:val="24"/>
        </w:rPr>
        <w:t xml:space="preserve">Tuberous sclerosis 1 (Tsc1) mediated mTORC1 activation promotes glycolysis in tubular epithelial cells in kidney fibrosis. </w:t>
      </w:r>
      <w:r>
        <w:rPr>
          <w:rFonts w:eastAsia="仿宋"/>
          <w:bCs/>
          <w:i/>
          <w:sz w:val="24"/>
          <w:szCs w:val="24"/>
        </w:rPr>
        <w:t>Kidney Int.</w:t>
      </w:r>
      <w:r>
        <w:rPr>
          <w:rFonts w:eastAsia="仿宋"/>
          <w:bCs/>
          <w:sz w:val="24"/>
          <w:szCs w:val="24"/>
        </w:rPr>
        <w:t xml:space="preserve"> 2020 Sep; 98(3): 686-698.</w:t>
      </w:r>
    </w:p>
    <w:p>
      <w:pPr>
        <w:pStyle w:val="15"/>
        <w:numPr>
          <w:ilvl w:val="0"/>
          <w:numId w:val="1"/>
        </w:numPr>
        <w:adjustRightInd w:val="0"/>
        <w:snapToGrid w:val="0"/>
        <w:spacing w:line="360" w:lineRule="auto"/>
        <w:ind w:firstLineChars="0"/>
        <w:rPr>
          <w:rFonts w:eastAsia="仿宋"/>
          <w:sz w:val="24"/>
          <w:szCs w:val="24"/>
        </w:rPr>
      </w:pPr>
      <w:r>
        <w:rPr>
          <w:rFonts w:eastAsia="仿宋"/>
          <w:bCs/>
          <w:sz w:val="24"/>
          <w:szCs w:val="24"/>
        </w:rPr>
        <w:t xml:space="preserve">Palmitoyltransferase DHHC9 and acyl protein thioesterase APT1 modulate renal fibrosis through regulating β-catenin palmitoylation. </w:t>
      </w:r>
      <w:r>
        <w:rPr>
          <w:rFonts w:eastAsia="仿宋"/>
          <w:i/>
          <w:sz w:val="24"/>
          <w:szCs w:val="24"/>
        </w:rPr>
        <w:t>Nat Commun.</w:t>
      </w:r>
      <w:r>
        <w:rPr>
          <w:rFonts w:eastAsia="仿宋"/>
          <w:sz w:val="24"/>
          <w:szCs w:val="24"/>
        </w:rPr>
        <w:t xml:space="preserve"> 2023 Oct 21; 14(1): 6682.</w:t>
      </w:r>
    </w:p>
    <w:p>
      <w:pPr>
        <w:pStyle w:val="15"/>
        <w:numPr>
          <w:ilvl w:val="0"/>
          <w:numId w:val="1"/>
        </w:numPr>
        <w:adjustRightInd w:val="0"/>
        <w:snapToGrid w:val="0"/>
        <w:spacing w:line="360" w:lineRule="auto"/>
        <w:ind w:firstLineChars="0"/>
        <w:rPr>
          <w:rFonts w:eastAsia="仿宋"/>
          <w:sz w:val="24"/>
          <w:szCs w:val="24"/>
        </w:rPr>
      </w:pPr>
      <w:r>
        <w:rPr>
          <w:rFonts w:eastAsia="仿宋"/>
          <w:bCs/>
          <w:sz w:val="24"/>
          <w:szCs w:val="24"/>
        </w:rPr>
        <w:t xml:space="preserve">Rictor/mTORC2 protects against cisplatin-induced tubular cell death and acute kidney injury. </w:t>
      </w:r>
      <w:r>
        <w:rPr>
          <w:rFonts w:eastAsia="仿宋"/>
          <w:i/>
          <w:sz w:val="24"/>
          <w:szCs w:val="24"/>
        </w:rPr>
        <w:t>Kidney Int.</w:t>
      </w:r>
      <w:r>
        <w:rPr>
          <w:rFonts w:eastAsia="仿宋"/>
          <w:sz w:val="24"/>
          <w:szCs w:val="24"/>
        </w:rPr>
        <w:t xml:space="preserve"> 2014 Jul; 86(1): 86-102.</w:t>
      </w:r>
    </w:p>
    <w:p>
      <w:pPr>
        <w:pStyle w:val="15"/>
        <w:numPr>
          <w:ilvl w:val="0"/>
          <w:numId w:val="1"/>
        </w:numPr>
        <w:adjustRightInd w:val="0"/>
        <w:snapToGrid w:val="0"/>
        <w:spacing w:line="360" w:lineRule="auto"/>
        <w:ind w:firstLineChars="0"/>
        <w:rPr>
          <w:rFonts w:eastAsia="仿宋"/>
          <w:sz w:val="24"/>
          <w:szCs w:val="24"/>
        </w:rPr>
      </w:pPr>
      <w:r>
        <w:rPr>
          <w:rFonts w:eastAsia="仿宋"/>
          <w:bCs/>
          <w:sz w:val="24"/>
          <w:szCs w:val="24"/>
        </w:rPr>
        <w:t xml:space="preserve">Rheb/mTORC1 signaling promotes kidney fibroblast activation and fibrosis. </w:t>
      </w:r>
      <w:r>
        <w:rPr>
          <w:rFonts w:eastAsia="仿宋"/>
          <w:i/>
          <w:sz w:val="24"/>
          <w:szCs w:val="24"/>
        </w:rPr>
        <w:t>J Am Soc Nephrol.</w:t>
      </w:r>
      <w:r>
        <w:rPr>
          <w:rFonts w:eastAsia="仿宋"/>
          <w:sz w:val="24"/>
          <w:szCs w:val="24"/>
        </w:rPr>
        <w:t xml:space="preserve"> 2013 Jun; 24(7): 1114-26.</w:t>
      </w:r>
    </w:p>
    <w:p>
      <w:pPr>
        <w:pStyle w:val="15"/>
        <w:numPr>
          <w:ilvl w:val="0"/>
          <w:numId w:val="1"/>
        </w:numPr>
        <w:adjustRightInd w:val="0"/>
        <w:snapToGrid w:val="0"/>
        <w:spacing w:line="360" w:lineRule="auto"/>
        <w:ind w:firstLineChars="0"/>
        <w:rPr>
          <w:rFonts w:eastAsia="仿宋"/>
          <w:sz w:val="24"/>
          <w:szCs w:val="24"/>
        </w:rPr>
      </w:pPr>
      <w:r>
        <w:rPr>
          <w:rFonts w:eastAsia="仿宋"/>
          <w:bCs/>
          <w:sz w:val="24"/>
          <w:szCs w:val="24"/>
        </w:rPr>
        <w:t xml:space="preserve">Rictor/mTORC2 signaling mediates TGFβ1-induced fibroblast activation and kidney fibrosis. </w:t>
      </w:r>
      <w:r>
        <w:rPr>
          <w:rFonts w:eastAsia="仿宋"/>
          <w:i/>
          <w:sz w:val="24"/>
          <w:szCs w:val="24"/>
        </w:rPr>
        <w:t>Kidney Int.</w:t>
      </w:r>
      <w:r>
        <w:rPr>
          <w:rFonts w:eastAsia="仿宋"/>
          <w:sz w:val="24"/>
          <w:szCs w:val="24"/>
        </w:rPr>
        <w:t xml:space="preserve"> 2015 Sep; 88(3): 515-27.</w:t>
      </w:r>
    </w:p>
    <w:p>
      <w:pPr>
        <w:pStyle w:val="15"/>
        <w:numPr>
          <w:ilvl w:val="0"/>
          <w:numId w:val="1"/>
        </w:numPr>
        <w:adjustRightInd w:val="0"/>
        <w:snapToGrid w:val="0"/>
        <w:spacing w:line="360" w:lineRule="auto"/>
        <w:ind w:firstLineChars="0"/>
        <w:rPr>
          <w:rFonts w:eastAsia="仿宋"/>
          <w:sz w:val="24"/>
          <w:szCs w:val="24"/>
        </w:rPr>
      </w:pPr>
      <w:r>
        <w:rPr>
          <w:rFonts w:eastAsia="仿宋"/>
          <w:bCs/>
          <w:sz w:val="24"/>
          <w:szCs w:val="24"/>
        </w:rPr>
        <w:t xml:space="preserve">Fibroblast mTOR/PPARγ/HGF axis protects against tubular cell death and acute kidney injury. </w:t>
      </w:r>
      <w:r>
        <w:rPr>
          <w:rFonts w:eastAsia="仿宋"/>
          <w:i/>
          <w:sz w:val="24"/>
          <w:szCs w:val="24"/>
        </w:rPr>
        <w:t>Cell Death Differ.</w:t>
      </w:r>
      <w:r>
        <w:rPr>
          <w:rFonts w:eastAsia="仿宋"/>
          <w:sz w:val="24"/>
          <w:szCs w:val="24"/>
        </w:rPr>
        <w:t xml:space="preserve"> 2019 Dec; 26(12): 2774-2789.</w:t>
      </w:r>
    </w:p>
    <w:p>
      <w:pPr>
        <w:pStyle w:val="15"/>
        <w:numPr>
          <w:ilvl w:val="0"/>
          <w:numId w:val="1"/>
        </w:numPr>
        <w:adjustRightInd w:val="0"/>
        <w:snapToGrid w:val="0"/>
        <w:spacing w:line="360" w:lineRule="auto"/>
        <w:ind w:firstLineChars="0"/>
        <w:rPr>
          <w:rFonts w:eastAsia="仿宋"/>
          <w:sz w:val="24"/>
          <w:szCs w:val="24"/>
        </w:rPr>
      </w:pPr>
      <w:r>
        <w:rPr>
          <w:rFonts w:eastAsia="仿宋"/>
          <w:bCs/>
          <w:sz w:val="24"/>
          <w:szCs w:val="24"/>
        </w:rPr>
        <w:t xml:space="preserve">Wnt/β-catenin–promoted macrophage alternative activation contributes to kidney fibrosis. </w:t>
      </w:r>
      <w:r>
        <w:rPr>
          <w:rFonts w:eastAsia="仿宋"/>
          <w:i/>
          <w:sz w:val="24"/>
          <w:szCs w:val="24"/>
        </w:rPr>
        <w:t>J Am Soc Nephrol.</w:t>
      </w:r>
      <w:r>
        <w:rPr>
          <w:rFonts w:eastAsia="仿宋"/>
          <w:sz w:val="24"/>
          <w:szCs w:val="24"/>
        </w:rPr>
        <w:t xml:space="preserve"> 2018 Jan; 29(1): 182-193.</w:t>
      </w:r>
    </w:p>
    <w:p>
      <w:pPr>
        <w:pStyle w:val="15"/>
        <w:numPr>
          <w:ilvl w:val="0"/>
          <w:numId w:val="1"/>
        </w:numPr>
        <w:adjustRightInd w:val="0"/>
        <w:snapToGrid w:val="0"/>
        <w:spacing w:line="360" w:lineRule="auto"/>
        <w:ind w:firstLineChars="0"/>
        <w:rPr>
          <w:rFonts w:eastAsia="仿宋"/>
          <w:sz w:val="24"/>
          <w:szCs w:val="24"/>
        </w:rPr>
      </w:pPr>
      <w:r>
        <w:rPr>
          <w:rFonts w:eastAsia="仿宋"/>
          <w:bCs/>
          <w:sz w:val="24"/>
          <w:szCs w:val="24"/>
        </w:rPr>
        <w:t xml:space="preserve">PP2Acα promotes macrophage accumulation and activation to exacerbate tubular cell death and kidney fibrosis through activating Rap1 and TNFα production. </w:t>
      </w:r>
      <w:r>
        <w:rPr>
          <w:rFonts w:eastAsia="仿宋"/>
          <w:bCs/>
          <w:i/>
          <w:sz w:val="24"/>
          <w:szCs w:val="24"/>
        </w:rPr>
        <w:t xml:space="preserve">Cell Death Differ. </w:t>
      </w:r>
      <w:r>
        <w:rPr>
          <w:rFonts w:eastAsia="仿宋"/>
          <w:bCs/>
          <w:sz w:val="24"/>
          <w:szCs w:val="24"/>
        </w:rPr>
        <w:t>2021 Sep; 28(9): 2728-2744.</w:t>
      </w:r>
    </w:p>
    <w:p>
      <w:pPr>
        <w:pStyle w:val="15"/>
        <w:numPr>
          <w:ilvl w:val="0"/>
          <w:numId w:val="1"/>
        </w:numPr>
        <w:adjustRightInd w:val="0"/>
        <w:snapToGrid w:val="0"/>
        <w:spacing w:line="360" w:lineRule="auto"/>
        <w:ind w:firstLineChars="0"/>
        <w:rPr>
          <w:rFonts w:eastAsia="仿宋"/>
          <w:sz w:val="24"/>
          <w:szCs w:val="24"/>
        </w:rPr>
      </w:pPr>
      <w:r>
        <w:rPr>
          <w:rFonts w:eastAsia="仿宋"/>
          <w:bCs/>
          <w:sz w:val="24"/>
          <w:szCs w:val="24"/>
        </w:rPr>
        <w:t xml:space="preserve">Rictor/mammalian target of rapamycin complex 2 promotes macrophage activation and kidney fibrosis. </w:t>
      </w:r>
      <w:r>
        <w:rPr>
          <w:rFonts w:eastAsia="仿宋"/>
          <w:i/>
          <w:sz w:val="24"/>
          <w:szCs w:val="24"/>
        </w:rPr>
        <w:t xml:space="preserve">J Pathol. </w:t>
      </w:r>
      <w:r>
        <w:rPr>
          <w:rFonts w:eastAsia="仿宋"/>
          <w:sz w:val="24"/>
          <w:szCs w:val="24"/>
        </w:rPr>
        <w:t>2017 Aug; 242(4): 488-499.</w:t>
      </w:r>
    </w:p>
    <w:p>
      <w:pPr>
        <w:adjustRightInd w:val="0"/>
        <w:snapToGrid w:val="0"/>
        <w:spacing w:before="211" w:beforeLines="50" w:line="360" w:lineRule="auto"/>
        <w:rPr>
          <w:rFonts w:eastAsia="仿宋"/>
          <w:bCs/>
          <w:color w:val="000000"/>
          <w:sz w:val="24"/>
          <w:szCs w:val="24"/>
        </w:rPr>
      </w:pPr>
      <w:r>
        <w:rPr>
          <w:rFonts w:eastAsia="仿宋"/>
          <w:bCs/>
          <w:color w:val="000000"/>
          <w:sz w:val="24"/>
          <w:szCs w:val="24"/>
        </w:rPr>
        <w:t>主要知识产权和标准规范等目录：</w:t>
      </w:r>
    </w:p>
    <w:p>
      <w:pPr>
        <w:pStyle w:val="15"/>
        <w:numPr>
          <w:ilvl w:val="0"/>
          <w:numId w:val="2"/>
        </w:numPr>
        <w:adjustRightInd w:val="0"/>
        <w:snapToGrid w:val="0"/>
        <w:spacing w:line="360" w:lineRule="auto"/>
        <w:ind w:firstLineChars="0"/>
        <w:rPr>
          <w:rFonts w:eastAsia="仿宋"/>
          <w:bCs/>
          <w:color w:val="000000"/>
          <w:sz w:val="24"/>
          <w:szCs w:val="24"/>
        </w:rPr>
      </w:pPr>
      <w:r>
        <w:rPr>
          <w:rFonts w:eastAsia="仿宋"/>
          <w:bCs/>
          <w:color w:val="000000"/>
          <w:sz w:val="24"/>
          <w:szCs w:val="24"/>
        </w:rPr>
        <w:t>发明专利：</w:t>
      </w:r>
      <w:r>
        <w:rPr>
          <w:rFonts w:eastAsia="仿宋"/>
          <w:sz w:val="24"/>
          <w:szCs w:val="24"/>
        </w:rPr>
        <w:t>PS48在制备用于减轻缺血再灌注和顺铂诱导的急性肾损伤相关病症的药物中的用途，ZL201610825494.6，2020.2.4.</w:t>
      </w:r>
    </w:p>
    <w:p>
      <w:pPr>
        <w:pStyle w:val="15"/>
        <w:numPr>
          <w:ilvl w:val="0"/>
          <w:numId w:val="2"/>
        </w:numPr>
        <w:adjustRightInd w:val="0"/>
        <w:snapToGrid w:val="0"/>
        <w:spacing w:line="360" w:lineRule="auto"/>
        <w:ind w:firstLineChars="0"/>
        <w:rPr>
          <w:rFonts w:eastAsia="仿宋"/>
          <w:bCs/>
          <w:color w:val="000000"/>
          <w:sz w:val="24"/>
          <w:szCs w:val="24"/>
        </w:rPr>
      </w:pPr>
      <w:r>
        <w:rPr>
          <w:rFonts w:eastAsia="仿宋"/>
          <w:bCs/>
          <w:color w:val="000000"/>
          <w:sz w:val="24"/>
          <w:szCs w:val="24"/>
        </w:rPr>
        <w:t>发明专利：</w:t>
      </w:r>
      <w:r>
        <w:rPr>
          <w:rFonts w:eastAsia="仿宋"/>
          <w:sz w:val="24"/>
          <w:szCs w:val="24"/>
        </w:rPr>
        <w:t>A939572在制备用于减轻急性肾损伤的药物中的应用，ZL201910433406.1，2022.3.18.</w:t>
      </w:r>
    </w:p>
    <w:p>
      <w:pPr>
        <w:pStyle w:val="15"/>
        <w:numPr>
          <w:ilvl w:val="0"/>
          <w:numId w:val="2"/>
        </w:numPr>
        <w:adjustRightInd w:val="0"/>
        <w:snapToGrid w:val="0"/>
        <w:spacing w:line="360" w:lineRule="auto"/>
        <w:ind w:firstLineChars="0"/>
        <w:rPr>
          <w:rFonts w:eastAsia="仿宋"/>
          <w:bCs/>
          <w:color w:val="000000"/>
          <w:sz w:val="24"/>
          <w:szCs w:val="24"/>
        </w:rPr>
      </w:pPr>
      <w:r>
        <w:rPr>
          <w:rFonts w:eastAsia="仿宋"/>
          <w:bCs/>
          <w:color w:val="000000"/>
          <w:sz w:val="24"/>
          <w:szCs w:val="24"/>
        </w:rPr>
        <w:t>发明专利：</w:t>
      </w:r>
      <w:r>
        <w:rPr>
          <w:rFonts w:eastAsia="仿宋"/>
          <w:sz w:val="24"/>
          <w:szCs w:val="24"/>
        </w:rPr>
        <w:t>Perilipin 1在制备糖尿病肾病产品中的应用，ZL202210456301.X，2023.10.27.</w:t>
      </w:r>
    </w:p>
    <w:p>
      <w:pPr>
        <w:pStyle w:val="15"/>
        <w:numPr>
          <w:ilvl w:val="0"/>
          <w:numId w:val="2"/>
        </w:numPr>
        <w:adjustRightInd w:val="0"/>
        <w:snapToGrid w:val="0"/>
        <w:spacing w:line="360" w:lineRule="auto"/>
        <w:ind w:firstLineChars="0"/>
        <w:rPr>
          <w:rFonts w:eastAsia="仿宋"/>
          <w:bCs/>
          <w:color w:val="000000"/>
          <w:sz w:val="24"/>
          <w:szCs w:val="24"/>
        </w:rPr>
      </w:pPr>
      <w:r>
        <w:rPr>
          <w:rFonts w:eastAsia="仿宋"/>
          <w:bCs/>
          <w:color w:val="000000"/>
          <w:sz w:val="24"/>
          <w:szCs w:val="24"/>
        </w:rPr>
        <w:t>发明专利：</w:t>
      </w:r>
      <w:r>
        <w:rPr>
          <w:rFonts w:eastAsia="仿宋"/>
          <w:sz w:val="24"/>
          <w:szCs w:val="24"/>
        </w:rPr>
        <w:t>一种糖尿病肾脏并发症评估装置，ZL202110384799.9，2023.9.1.</w:t>
      </w:r>
    </w:p>
    <w:p>
      <w:pPr>
        <w:pStyle w:val="15"/>
        <w:numPr>
          <w:ilvl w:val="0"/>
          <w:numId w:val="2"/>
        </w:numPr>
        <w:adjustRightInd w:val="0"/>
        <w:snapToGrid w:val="0"/>
        <w:spacing w:line="360" w:lineRule="auto"/>
        <w:ind w:firstLineChars="0"/>
        <w:rPr>
          <w:rFonts w:eastAsia="仿宋"/>
          <w:bCs/>
          <w:color w:val="000000"/>
          <w:sz w:val="24"/>
          <w:szCs w:val="24"/>
        </w:rPr>
      </w:pPr>
      <w:r>
        <w:rPr>
          <w:rFonts w:eastAsia="仿宋"/>
          <w:bCs/>
          <w:color w:val="000000"/>
          <w:sz w:val="24"/>
          <w:szCs w:val="24"/>
        </w:rPr>
        <w:t>实用新型专利：</w:t>
      </w:r>
      <w:r>
        <w:rPr>
          <w:rFonts w:eastAsia="仿宋"/>
          <w:sz w:val="24"/>
          <w:szCs w:val="24"/>
        </w:rPr>
        <w:t>慢性肾脏病患者随访提醒装置，ZL202021818149.8，2021.3.9.</w:t>
      </w:r>
    </w:p>
    <w:sectPr>
      <w:pgSz w:w="11900" w:h="16840"/>
      <w:pgMar w:top="1440" w:right="1247" w:bottom="1440" w:left="124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D219D"/>
    <w:multiLevelType w:val="multilevel"/>
    <w:tmpl w:val="2DED219D"/>
    <w:lvl w:ilvl="0" w:tentative="0">
      <w:start w:val="1"/>
      <w:numFmt w:val="decimal"/>
      <w:lvlText w:val="%1."/>
      <w:lvlJc w:val="left"/>
      <w:pPr>
        <w:ind w:left="380" w:hanging="380"/>
      </w:pPr>
      <w:rPr>
        <w:rFonts w:hint="default"/>
        <w:color w:val="00000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9D0ECF"/>
    <w:multiLevelType w:val="multilevel"/>
    <w:tmpl w:val="3C9D0ECF"/>
    <w:lvl w:ilvl="0" w:tentative="0">
      <w:start w:val="1"/>
      <w:numFmt w:val="decimal"/>
      <w:lvlText w:val="%1."/>
      <w:lvlJc w:val="left"/>
      <w:pPr>
        <w:ind w:left="380" w:hanging="380"/>
      </w:pPr>
      <w:rPr>
        <w:rFonts w:hint="default"/>
        <w:color w:val="00000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YmVkZTAzMmZlNWM1MWEzZGZlMTkxOTFhNjYwNTAifQ=="/>
  </w:docVars>
  <w:rsids>
    <w:rsidRoot w:val="00D23A9C"/>
    <w:rsid w:val="0000223E"/>
    <w:rsid w:val="00011655"/>
    <w:rsid w:val="00011A5C"/>
    <w:rsid w:val="0001303D"/>
    <w:rsid w:val="00031FE4"/>
    <w:rsid w:val="00043A99"/>
    <w:rsid w:val="0004633F"/>
    <w:rsid w:val="00051185"/>
    <w:rsid w:val="00056607"/>
    <w:rsid w:val="00061F55"/>
    <w:rsid w:val="000719DB"/>
    <w:rsid w:val="0008425F"/>
    <w:rsid w:val="000B38B8"/>
    <w:rsid w:val="000C5133"/>
    <w:rsid w:val="000C5AE3"/>
    <w:rsid w:val="000C7E35"/>
    <w:rsid w:val="000D2853"/>
    <w:rsid w:val="000D3691"/>
    <w:rsid w:val="000E5175"/>
    <w:rsid w:val="000F0A4B"/>
    <w:rsid w:val="000F2D67"/>
    <w:rsid w:val="000F2FC5"/>
    <w:rsid w:val="000F3F39"/>
    <w:rsid w:val="000F3F9A"/>
    <w:rsid w:val="000F7540"/>
    <w:rsid w:val="00102278"/>
    <w:rsid w:val="0011196B"/>
    <w:rsid w:val="00112982"/>
    <w:rsid w:val="00116640"/>
    <w:rsid w:val="001210CD"/>
    <w:rsid w:val="001273DC"/>
    <w:rsid w:val="00137830"/>
    <w:rsid w:val="00140B2E"/>
    <w:rsid w:val="00141389"/>
    <w:rsid w:val="00153CAF"/>
    <w:rsid w:val="00157931"/>
    <w:rsid w:val="001647F4"/>
    <w:rsid w:val="00172F12"/>
    <w:rsid w:val="001744A7"/>
    <w:rsid w:val="00176B56"/>
    <w:rsid w:val="00190895"/>
    <w:rsid w:val="001940FD"/>
    <w:rsid w:val="00197B8D"/>
    <w:rsid w:val="001B047A"/>
    <w:rsid w:val="001B25A0"/>
    <w:rsid w:val="001C0E18"/>
    <w:rsid w:val="001C6105"/>
    <w:rsid w:val="001D2BCC"/>
    <w:rsid w:val="001D2E19"/>
    <w:rsid w:val="001D42C9"/>
    <w:rsid w:val="001D606F"/>
    <w:rsid w:val="001E356B"/>
    <w:rsid w:val="001F0641"/>
    <w:rsid w:val="001F1B10"/>
    <w:rsid w:val="001F5499"/>
    <w:rsid w:val="00212E56"/>
    <w:rsid w:val="00223C77"/>
    <w:rsid w:val="00224B2D"/>
    <w:rsid w:val="002251BA"/>
    <w:rsid w:val="00233449"/>
    <w:rsid w:val="00234A79"/>
    <w:rsid w:val="00244CB9"/>
    <w:rsid w:val="00246C85"/>
    <w:rsid w:val="00253864"/>
    <w:rsid w:val="0025446C"/>
    <w:rsid w:val="0027426C"/>
    <w:rsid w:val="00286AFE"/>
    <w:rsid w:val="00291404"/>
    <w:rsid w:val="00292CE0"/>
    <w:rsid w:val="00296B66"/>
    <w:rsid w:val="002A3B69"/>
    <w:rsid w:val="002A4EF8"/>
    <w:rsid w:val="002B038A"/>
    <w:rsid w:val="002B5CD0"/>
    <w:rsid w:val="002C0BBF"/>
    <w:rsid w:val="002C1793"/>
    <w:rsid w:val="002C42D8"/>
    <w:rsid w:val="002E0DE0"/>
    <w:rsid w:val="002E4939"/>
    <w:rsid w:val="002F0DF5"/>
    <w:rsid w:val="002F157A"/>
    <w:rsid w:val="002F394B"/>
    <w:rsid w:val="002F5759"/>
    <w:rsid w:val="0030156F"/>
    <w:rsid w:val="00305793"/>
    <w:rsid w:val="0031423E"/>
    <w:rsid w:val="00316A89"/>
    <w:rsid w:val="00321D83"/>
    <w:rsid w:val="00322C91"/>
    <w:rsid w:val="00324D9F"/>
    <w:rsid w:val="00331582"/>
    <w:rsid w:val="0033314D"/>
    <w:rsid w:val="003342A2"/>
    <w:rsid w:val="00334490"/>
    <w:rsid w:val="00340B8B"/>
    <w:rsid w:val="00341C29"/>
    <w:rsid w:val="0034638E"/>
    <w:rsid w:val="0034662F"/>
    <w:rsid w:val="00350088"/>
    <w:rsid w:val="003507C7"/>
    <w:rsid w:val="003554E8"/>
    <w:rsid w:val="00361FB2"/>
    <w:rsid w:val="0036561E"/>
    <w:rsid w:val="00370F80"/>
    <w:rsid w:val="0037697A"/>
    <w:rsid w:val="00376DA4"/>
    <w:rsid w:val="00376E29"/>
    <w:rsid w:val="00384EB8"/>
    <w:rsid w:val="00391F7B"/>
    <w:rsid w:val="003A65DC"/>
    <w:rsid w:val="003B29FF"/>
    <w:rsid w:val="003B36FF"/>
    <w:rsid w:val="003B5EEB"/>
    <w:rsid w:val="003B6045"/>
    <w:rsid w:val="003B7178"/>
    <w:rsid w:val="003D06EF"/>
    <w:rsid w:val="003E529A"/>
    <w:rsid w:val="003F1487"/>
    <w:rsid w:val="003F3442"/>
    <w:rsid w:val="003F46F8"/>
    <w:rsid w:val="003F5E40"/>
    <w:rsid w:val="00401D8B"/>
    <w:rsid w:val="004056AF"/>
    <w:rsid w:val="0041467B"/>
    <w:rsid w:val="0043159D"/>
    <w:rsid w:val="00431EE8"/>
    <w:rsid w:val="00445C1E"/>
    <w:rsid w:val="004521D8"/>
    <w:rsid w:val="004716FD"/>
    <w:rsid w:val="00471ED8"/>
    <w:rsid w:val="00472B2E"/>
    <w:rsid w:val="00476FDA"/>
    <w:rsid w:val="00477D11"/>
    <w:rsid w:val="00481F18"/>
    <w:rsid w:val="0048324A"/>
    <w:rsid w:val="00485D22"/>
    <w:rsid w:val="00490B87"/>
    <w:rsid w:val="004A2D68"/>
    <w:rsid w:val="004A3ADD"/>
    <w:rsid w:val="004A5AC9"/>
    <w:rsid w:val="004B572F"/>
    <w:rsid w:val="004B68F7"/>
    <w:rsid w:val="004C392D"/>
    <w:rsid w:val="004C438E"/>
    <w:rsid w:val="004C5EB2"/>
    <w:rsid w:val="004F5BEF"/>
    <w:rsid w:val="0050059E"/>
    <w:rsid w:val="00504404"/>
    <w:rsid w:val="00511ACC"/>
    <w:rsid w:val="00512C0E"/>
    <w:rsid w:val="005139F1"/>
    <w:rsid w:val="00517AF7"/>
    <w:rsid w:val="0053349C"/>
    <w:rsid w:val="0054463B"/>
    <w:rsid w:val="00546AB7"/>
    <w:rsid w:val="00547125"/>
    <w:rsid w:val="00547FEC"/>
    <w:rsid w:val="00551611"/>
    <w:rsid w:val="00551888"/>
    <w:rsid w:val="00561C08"/>
    <w:rsid w:val="0056705E"/>
    <w:rsid w:val="00567FDA"/>
    <w:rsid w:val="0057053C"/>
    <w:rsid w:val="0057235E"/>
    <w:rsid w:val="005844EF"/>
    <w:rsid w:val="00596E97"/>
    <w:rsid w:val="005A37D4"/>
    <w:rsid w:val="005B0508"/>
    <w:rsid w:val="005B4CA3"/>
    <w:rsid w:val="005B6716"/>
    <w:rsid w:val="005C1353"/>
    <w:rsid w:val="005C30C8"/>
    <w:rsid w:val="005C60D8"/>
    <w:rsid w:val="005C77C2"/>
    <w:rsid w:val="005D12EE"/>
    <w:rsid w:val="005D4D65"/>
    <w:rsid w:val="005D70C7"/>
    <w:rsid w:val="005E08BA"/>
    <w:rsid w:val="005F0824"/>
    <w:rsid w:val="00604187"/>
    <w:rsid w:val="006047C6"/>
    <w:rsid w:val="00612BE8"/>
    <w:rsid w:val="0061772E"/>
    <w:rsid w:val="00617F5F"/>
    <w:rsid w:val="00625139"/>
    <w:rsid w:val="00625DA4"/>
    <w:rsid w:val="00632237"/>
    <w:rsid w:val="00635AD2"/>
    <w:rsid w:val="00647BA6"/>
    <w:rsid w:val="00654AA5"/>
    <w:rsid w:val="006620D8"/>
    <w:rsid w:val="00666342"/>
    <w:rsid w:val="00676567"/>
    <w:rsid w:val="00680974"/>
    <w:rsid w:val="00681739"/>
    <w:rsid w:val="00693832"/>
    <w:rsid w:val="0069390D"/>
    <w:rsid w:val="00694EB9"/>
    <w:rsid w:val="006B23A1"/>
    <w:rsid w:val="006C17D6"/>
    <w:rsid w:val="006C1D89"/>
    <w:rsid w:val="006C20D9"/>
    <w:rsid w:val="006C3199"/>
    <w:rsid w:val="006D1ACA"/>
    <w:rsid w:val="006D53C4"/>
    <w:rsid w:val="006E5726"/>
    <w:rsid w:val="006E6ABD"/>
    <w:rsid w:val="006E7081"/>
    <w:rsid w:val="006F041F"/>
    <w:rsid w:val="006F064A"/>
    <w:rsid w:val="0071183B"/>
    <w:rsid w:val="007123B3"/>
    <w:rsid w:val="007171F3"/>
    <w:rsid w:val="00723180"/>
    <w:rsid w:val="00723BCC"/>
    <w:rsid w:val="0073690B"/>
    <w:rsid w:val="007420CF"/>
    <w:rsid w:val="007420EF"/>
    <w:rsid w:val="00743A25"/>
    <w:rsid w:val="007504D2"/>
    <w:rsid w:val="007516FD"/>
    <w:rsid w:val="007553E2"/>
    <w:rsid w:val="00757FF3"/>
    <w:rsid w:val="00762D00"/>
    <w:rsid w:val="00763E96"/>
    <w:rsid w:val="00783D90"/>
    <w:rsid w:val="00783DA2"/>
    <w:rsid w:val="00785AD8"/>
    <w:rsid w:val="007867A9"/>
    <w:rsid w:val="00793546"/>
    <w:rsid w:val="007935E0"/>
    <w:rsid w:val="00793686"/>
    <w:rsid w:val="007A0367"/>
    <w:rsid w:val="007B00F8"/>
    <w:rsid w:val="007B4400"/>
    <w:rsid w:val="007D33A2"/>
    <w:rsid w:val="007D348B"/>
    <w:rsid w:val="007D73EE"/>
    <w:rsid w:val="007D77AE"/>
    <w:rsid w:val="007E2637"/>
    <w:rsid w:val="007E3AF8"/>
    <w:rsid w:val="007E6143"/>
    <w:rsid w:val="007F1C34"/>
    <w:rsid w:val="007F2422"/>
    <w:rsid w:val="007F5554"/>
    <w:rsid w:val="00806771"/>
    <w:rsid w:val="00810638"/>
    <w:rsid w:val="00813426"/>
    <w:rsid w:val="00813ACB"/>
    <w:rsid w:val="00816F3D"/>
    <w:rsid w:val="00821BB1"/>
    <w:rsid w:val="008224E4"/>
    <w:rsid w:val="00837979"/>
    <w:rsid w:val="0084082D"/>
    <w:rsid w:val="0084613F"/>
    <w:rsid w:val="00866725"/>
    <w:rsid w:val="0087028E"/>
    <w:rsid w:val="00875ADF"/>
    <w:rsid w:val="008837EB"/>
    <w:rsid w:val="00885C56"/>
    <w:rsid w:val="0089409E"/>
    <w:rsid w:val="00895E47"/>
    <w:rsid w:val="00896327"/>
    <w:rsid w:val="008A4A6D"/>
    <w:rsid w:val="008A4B72"/>
    <w:rsid w:val="008A4D44"/>
    <w:rsid w:val="008B2D98"/>
    <w:rsid w:val="008B3133"/>
    <w:rsid w:val="008C0BE9"/>
    <w:rsid w:val="008C19E6"/>
    <w:rsid w:val="008C26F4"/>
    <w:rsid w:val="008C3001"/>
    <w:rsid w:val="008C53B9"/>
    <w:rsid w:val="008D6D34"/>
    <w:rsid w:val="008E6FFE"/>
    <w:rsid w:val="008F5BBD"/>
    <w:rsid w:val="0090032E"/>
    <w:rsid w:val="009120F9"/>
    <w:rsid w:val="00914612"/>
    <w:rsid w:val="009247F1"/>
    <w:rsid w:val="00925623"/>
    <w:rsid w:val="00926966"/>
    <w:rsid w:val="00926A8C"/>
    <w:rsid w:val="0093393B"/>
    <w:rsid w:val="0093510A"/>
    <w:rsid w:val="009414AD"/>
    <w:rsid w:val="0094179E"/>
    <w:rsid w:val="009427CF"/>
    <w:rsid w:val="0095140E"/>
    <w:rsid w:val="0095143D"/>
    <w:rsid w:val="00952D9C"/>
    <w:rsid w:val="00962087"/>
    <w:rsid w:val="00971B34"/>
    <w:rsid w:val="0097393B"/>
    <w:rsid w:val="00976E3A"/>
    <w:rsid w:val="0098341D"/>
    <w:rsid w:val="00986244"/>
    <w:rsid w:val="00986FAD"/>
    <w:rsid w:val="009929F4"/>
    <w:rsid w:val="009A49CC"/>
    <w:rsid w:val="009A6029"/>
    <w:rsid w:val="009A70E2"/>
    <w:rsid w:val="009B1B3B"/>
    <w:rsid w:val="009D1DB4"/>
    <w:rsid w:val="009D5014"/>
    <w:rsid w:val="009D7551"/>
    <w:rsid w:val="009D7DCD"/>
    <w:rsid w:val="009E1337"/>
    <w:rsid w:val="009F48C9"/>
    <w:rsid w:val="009F544C"/>
    <w:rsid w:val="009F69B8"/>
    <w:rsid w:val="00A15036"/>
    <w:rsid w:val="00A367F1"/>
    <w:rsid w:val="00A42047"/>
    <w:rsid w:val="00A43BB7"/>
    <w:rsid w:val="00A461FE"/>
    <w:rsid w:val="00A509C0"/>
    <w:rsid w:val="00A66A42"/>
    <w:rsid w:val="00A70A9E"/>
    <w:rsid w:val="00A75483"/>
    <w:rsid w:val="00A831E7"/>
    <w:rsid w:val="00A841D1"/>
    <w:rsid w:val="00AA3064"/>
    <w:rsid w:val="00AA6DF6"/>
    <w:rsid w:val="00AB1F81"/>
    <w:rsid w:val="00AC2002"/>
    <w:rsid w:val="00AC4DC9"/>
    <w:rsid w:val="00AD4B47"/>
    <w:rsid w:val="00AE62BC"/>
    <w:rsid w:val="00AF1F63"/>
    <w:rsid w:val="00AF387B"/>
    <w:rsid w:val="00B0148A"/>
    <w:rsid w:val="00B11F1D"/>
    <w:rsid w:val="00B21899"/>
    <w:rsid w:val="00B23F4A"/>
    <w:rsid w:val="00B342DF"/>
    <w:rsid w:val="00B50C19"/>
    <w:rsid w:val="00B674A4"/>
    <w:rsid w:val="00B71A11"/>
    <w:rsid w:val="00B76C8A"/>
    <w:rsid w:val="00B824A2"/>
    <w:rsid w:val="00B83B70"/>
    <w:rsid w:val="00B93683"/>
    <w:rsid w:val="00B93AB2"/>
    <w:rsid w:val="00BA69C6"/>
    <w:rsid w:val="00BB2970"/>
    <w:rsid w:val="00BC6226"/>
    <w:rsid w:val="00BD4915"/>
    <w:rsid w:val="00BF5917"/>
    <w:rsid w:val="00C04B17"/>
    <w:rsid w:val="00C11D2D"/>
    <w:rsid w:val="00C15ED8"/>
    <w:rsid w:val="00C37550"/>
    <w:rsid w:val="00C37BA7"/>
    <w:rsid w:val="00C42022"/>
    <w:rsid w:val="00C43E33"/>
    <w:rsid w:val="00C442B1"/>
    <w:rsid w:val="00C46482"/>
    <w:rsid w:val="00C747BD"/>
    <w:rsid w:val="00C8348B"/>
    <w:rsid w:val="00C84056"/>
    <w:rsid w:val="00C91EC4"/>
    <w:rsid w:val="00C92F4A"/>
    <w:rsid w:val="00C93234"/>
    <w:rsid w:val="00CB0CFC"/>
    <w:rsid w:val="00CE2109"/>
    <w:rsid w:val="00CE24A9"/>
    <w:rsid w:val="00CE28F0"/>
    <w:rsid w:val="00CE2DA4"/>
    <w:rsid w:val="00CF039D"/>
    <w:rsid w:val="00CF0639"/>
    <w:rsid w:val="00CF2026"/>
    <w:rsid w:val="00D12C7F"/>
    <w:rsid w:val="00D12CD2"/>
    <w:rsid w:val="00D13392"/>
    <w:rsid w:val="00D137E9"/>
    <w:rsid w:val="00D23A9C"/>
    <w:rsid w:val="00D328FD"/>
    <w:rsid w:val="00D32B6E"/>
    <w:rsid w:val="00D4551E"/>
    <w:rsid w:val="00D500E4"/>
    <w:rsid w:val="00D503C2"/>
    <w:rsid w:val="00D52888"/>
    <w:rsid w:val="00D63987"/>
    <w:rsid w:val="00D6609A"/>
    <w:rsid w:val="00D6755D"/>
    <w:rsid w:val="00D72AB1"/>
    <w:rsid w:val="00D779D0"/>
    <w:rsid w:val="00D853C3"/>
    <w:rsid w:val="00D879E8"/>
    <w:rsid w:val="00D87F86"/>
    <w:rsid w:val="00D902D8"/>
    <w:rsid w:val="00DA02FD"/>
    <w:rsid w:val="00DA1CBF"/>
    <w:rsid w:val="00DB0868"/>
    <w:rsid w:val="00DB43BC"/>
    <w:rsid w:val="00DC615C"/>
    <w:rsid w:val="00DD22E2"/>
    <w:rsid w:val="00DE0BD8"/>
    <w:rsid w:val="00DF264F"/>
    <w:rsid w:val="00DF4EB5"/>
    <w:rsid w:val="00E020F0"/>
    <w:rsid w:val="00E022E0"/>
    <w:rsid w:val="00E13C07"/>
    <w:rsid w:val="00E13DEF"/>
    <w:rsid w:val="00E1562E"/>
    <w:rsid w:val="00E17C84"/>
    <w:rsid w:val="00E216E9"/>
    <w:rsid w:val="00E248BB"/>
    <w:rsid w:val="00E24C45"/>
    <w:rsid w:val="00E27B51"/>
    <w:rsid w:val="00E332A3"/>
    <w:rsid w:val="00E33798"/>
    <w:rsid w:val="00E40911"/>
    <w:rsid w:val="00E45A46"/>
    <w:rsid w:val="00E65625"/>
    <w:rsid w:val="00E70107"/>
    <w:rsid w:val="00E76BF5"/>
    <w:rsid w:val="00E80AFA"/>
    <w:rsid w:val="00E81157"/>
    <w:rsid w:val="00E812BD"/>
    <w:rsid w:val="00E92317"/>
    <w:rsid w:val="00E954D3"/>
    <w:rsid w:val="00E96005"/>
    <w:rsid w:val="00E968EE"/>
    <w:rsid w:val="00EA19BA"/>
    <w:rsid w:val="00EA3369"/>
    <w:rsid w:val="00EA3E4D"/>
    <w:rsid w:val="00EA40C2"/>
    <w:rsid w:val="00EC6DD6"/>
    <w:rsid w:val="00EE51AE"/>
    <w:rsid w:val="00EF5266"/>
    <w:rsid w:val="00EF6B67"/>
    <w:rsid w:val="00F02923"/>
    <w:rsid w:val="00F06065"/>
    <w:rsid w:val="00F151EA"/>
    <w:rsid w:val="00F23B28"/>
    <w:rsid w:val="00F253E1"/>
    <w:rsid w:val="00F37374"/>
    <w:rsid w:val="00F5238A"/>
    <w:rsid w:val="00F535D2"/>
    <w:rsid w:val="00F53E43"/>
    <w:rsid w:val="00F5488E"/>
    <w:rsid w:val="00F60E8B"/>
    <w:rsid w:val="00F72BBC"/>
    <w:rsid w:val="00F7566A"/>
    <w:rsid w:val="00F76EE9"/>
    <w:rsid w:val="00F82F99"/>
    <w:rsid w:val="00F83FC4"/>
    <w:rsid w:val="00F90217"/>
    <w:rsid w:val="00F96EAF"/>
    <w:rsid w:val="00FA1152"/>
    <w:rsid w:val="00FA282E"/>
    <w:rsid w:val="00FA36D9"/>
    <w:rsid w:val="00FC33F1"/>
    <w:rsid w:val="00FC3B12"/>
    <w:rsid w:val="00FC3C54"/>
    <w:rsid w:val="00FD3303"/>
    <w:rsid w:val="00FD34FC"/>
    <w:rsid w:val="00FD5913"/>
    <w:rsid w:val="00FD777B"/>
    <w:rsid w:val="00FE13FF"/>
    <w:rsid w:val="00FE336A"/>
    <w:rsid w:val="00FF10E2"/>
    <w:rsid w:val="0CAF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toc 3"/>
    <w:basedOn w:val="1"/>
    <w:next w:val="1"/>
    <w:autoRedefine/>
    <w:qFormat/>
    <w:uiPriority w:val="39"/>
    <w:pPr>
      <w:spacing w:line="360" w:lineRule="auto"/>
      <w:ind w:left="100" w:leftChars="100"/>
      <w:jc w:val="left"/>
    </w:pPr>
    <w:rPr>
      <w:rFonts w:ascii="宋体" w:hAnsi="Calibri"/>
      <w:color w:val="000000" w:themeColor="text1"/>
      <w14:textFill>
        <w14:solidFill>
          <w14:schemeClr w14:val="tx1"/>
        </w14:solidFill>
      </w14:textFill>
    </w:r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autoRedefine/>
    <w:unhideWhenUsed/>
    <w:qFormat/>
    <w:uiPriority w:val="99"/>
    <w:pPr>
      <w:tabs>
        <w:tab w:val="center" w:pos="4153"/>
        <w:tab w:val="right" w:pos="8306"/>
      </w:tabs>
      <w:snapToGrid w:val="0"/>
      <w:jc w:val="center"/>
    </w:pPr>
    <w:rPr>
      <w:sz w:val="18"/>
      <w:szCs w:val="18"/>
    </w:rPr>
  </w:style>
  <w:style w:type="paragraph" w:styleId="6">
    <w:name w:val="toc 1"/>
    <w:basedOn w:val="1"/>
    <w:next w:val="1"/>
    <w:autoRedefine/>
    <w:qFormat/>
    <w:uiPriority w:val="39"/>
    <w:pPr>
      <w:tabs>
        <w:tab w:val="right" w:leader="dot" w:pos="8296"/>
      </w:tabs>
      <w:spacing w:line="360" w:lineRule="auto"/>
      <w:jc w:val="left"/>
    </w:pPr>
    <w:rPr>
      <w:rFonts w:ascii="宋体" w:hAnsi="宋体" w:cs="Calibri"/>
      <w:bCs/>
      <w:color w:val="000000" w:themeColor="text1"/>
      <w:szCs w:val="21"/>
      <w14:textFill>
        <w14:solidFill>
          <w14:schemeClr w14:val="tx1"/>
        </w14:solidFill>
      </w14:textFill>
    </w:rPr>
  </w:style>
  <w:style w:type="paragraph" w:styleId="7">
    <w:name w:val="table of figures"/>
    <w:basedOn w:val="1"/>
    <w:next w:val="1"/>
    <w:autoRedefine/>
    <w:qFormat/>
    <w:uiPriority w:val="99"/>
    <w:pPr>
      <w:tabs>
        <w:tab w:val="right" w:leader="dot" w:pos="8296"/>
      </w:tabs>
      <w:adjustRightInd w:val="0"/>
      <w:snapToGrid w:val="0"/>
      <w:spacing w:line="360" w:lineRule="auto"/>
      <w:jc w:val="left"/>
    </w:pPr>
    <w:rPr>
      <w:rFonts w:ascii="宋体" w:hAnsi="Calibri" w:cs="Calibri"/>
      <w:color w:val="000000" w:themeColor="text1"/>
      <w14:textFill>
        <w14:solidFill>
          <w14:schemeClr w14:val="tx1"/>
        </w14:solidFill>
      </w14:textFill>
    </w:rPr>
  </w:style>
  <w:style w:type="paragraph" w:styleId="8">
    <w:name w:val="toc 2"/>
    <w:basedOn w:val="1"/>
    <w:next w:val="1"/>
    <w:autoRedefine/>
    <w:qFormat/>
    <w:uiPriority w:val="39"/>
    <w:pPr>
      <w:spacing w:line="360" w:lineRule="auto"/>
      <w:ind w:left="50" w:leftChars="50"/>
      <w:jc w:val="left"/>
    </w:pPr>
    <w:rPr>
      <w:rFonts w:ascii="宋体" w:hAnsi="Calibri"/>
      <w:bCs/>
      <w:color w:val="000000" w:themeColor="text1"/>
      <w14:textFill>
        <w14:solidFill>
          <w14:schemeClr w14:val="tx1"/>
        </w14:solidFill>
      </w14:textFill>
    </w:rPr>
  </w:style>
  <w:style w:type="character" w:customStyle="1" w:styleId="11">
    <w:name w:val="标题 1 字符"/>
    <w:basedOn w:val="10"/>
    <w:link w:val="2"/>
    <w:autoRedefine/>
    <w:qFormat/>
    <w:uiPriority w:val="9"/>
    <w:rPr>
      <w:b/>
      <w:bCs/>
      <w:kern w:val="44"/>
      <w:sz w:val="44"/>
      <w:szCs w:val="44"/>
    </w:rPr>
  </w:style>
  <w:style w:type="paragraph" w:customStyle="1" w:styleId="12">
    <w:name w:val="TOC Heading"/>
    <w:basedOn w:val="2"/>
    <w:next w:val="1"/>
    <w:autoRedefine/>
    <w:unhideWhenUsed/>
    <w:qFormat/>
    <w:uiPriority w:val="39"/>
    <w:pPr>
      <w:spacing w:before="120" w:after="120" w:line="360" w:lineRule="auto"/>
      <w:jc w:val="center"/>
      <w:outlineLvl w:val="9"/>
    </w:pPr>
    <w:rPr>
      <w:rFonts w:ascii="Arial" w:hAnsi="Arial" w:eastAsia="黑体"/>
      <w:b w:val="0"/>
      <w:color w:val="000000" w:themeColor="text1"/>
      <w:sz w:val="32"/>
      <w14:textFill>
        <w14:solidFill>
          <w14:schemeClr w14:val="tx1"/>
        </w14:solidFill>
      </w14:textFill>
    </w:rPr>
  </w:style>
  <w:style w:type="paragraph" w:customStyle="1" w:styleId="13">
    <w:name w:val="标题1工作手册"/>
    <w:basedOn w:val="2"/>
    <w:link w:val="14"/>
    <w:autoRedefine/>
    <w:qFormat/>
    <w:uiPriority w:val="0"/>
    <w:pPr>
      <w:keepNext w:val="0"/>
      <w:keepLines w:val="0"/>
      <w:tabs>
        <w:tab w:val="left" w:pos="3223"/>
      </w:tabs>
      <w:kinsoku w:val="0"/>
      <w:overflowPunct w:val="0"/>
      <w:autoSpaceDE w:val="0"/>
      <w:autoSpaceDN w:val="0"/>
      <w:adjustRightInd w:val="0"/>
      <w:snapToGrid w:val="0"/>
      <w:spacing w:before="0" w:after="0" w:line="240" w:lineRule="auto"/>
      <w:jc w:val="center"/>
    </w:pPr>
    <w:rPr>
      <w:rFonts w:ascii="华文中宋" w:hAnsi="华文中宋"/>
      <w:sz w:val="36"/>
      <w:szCs w:val="36"/>
    </w:rPr>
  </w:style>
  <w:style w:type="character" w:customStyle="1" w:styleId="14">
    <w:name w:val="标题1工作手册 字符"/>
    <w:basedOn w:val="10"/>
    <w:link w:val="13"/>
    <w:autoRedefine/>
    <w:qFormat/>
    <w:uiPriority w:val="0"/>
    <w:rPr>
      <w:rFonts w:ascii="华文中宋" w:hAnsi="华文中宋" w:eastAsia="宋体" w:cs="Times New Roman"/>
      <w:b/>
      <w:bCs/>
      <w:kern w:val="44"/>
      <w:sz w:val="36"/>
      <w:szCs w:val="36"/>
    </w:rPr>
  </w:style>
  <w:style w:type="paragraph" w:styleId="15">
    <w:name w:val="List Paragraph"/>
    <w:basedOn w:val="1"/>
    <w:autoRedefine/>
    <w:qFormat/>
    <w:uiPriority w:val="34"/>
    <w:pPr>
      <w:ind w:firstLine="420" w:firstLineChars="200"/>
    </w:pPr>
  </w:style>
  <w:style w:type="character" w:customStyle="1" w:styleId="16">
    <w:name w:val="页眉 字符"/>
    <w:basedOn w:val="10"/>
    <w:link w:val="5"/>
    <w:autoRedefine/>
    <w:qFormat/>
    <w:uiPriority w:val="99"/>
    <w:rPr>
      <w:rFonts w:ascii="Times New Roman" w:hAnsi="Times New Roman" w:eastAsia="宋体" w:cs="Times New Roman"/>
      <w:sz w:val="18"/>
      <w:szCs w:val="18"/>
    </w:rPr>
  </w:style>
  <w:style w:type="character" w:customStyle="1" w:styleId="17">
    <w:name w:val="页脚 字符"/>
    <w:basedOn w:val="10"/>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479</Words>
  <Characters>2736</Characters>
  <Lines>22</Lines>
  <Paragraphs>6</Paragraphs>
  <TotalTime>34</TotalTime>
  <ScaleCrop>false</ScaleCrop>
  <LinksUpToDate>false</LinksUpToDate>
  <CharactersWithSpaces>3209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2024-04-14T02:17:00Z</dcterms:created>
  <dc:creator>周阳</dc:creator>
  <cp:lastModifiedBy>Fiona</cp:lastModifiedBy>
  <dcterms:modified xsi:type="dcterms:W3CDTF">2024-04-22T06:08:43Z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726F8F9B2AB64AFF9159BF4AC5B8951C_12</vt:lpwstr>
  </property>
</Properties>
</file>